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21D" w:rsidRPr="00CC6681" w:rsidRDefault="0063121D" w:rsidP="0063121D">
      <w:pPr>
        <w:jc w:val="both"/>
        <w:rPr>
          <w:rFonts w:ascii="Comic Sans MS" w:hAnsi="Comic Sans MS"/>
          <w:color w:val="0D0D0D" w:themeColor="text1" w:themeTint="F2"/>
          <w:sz w:val="28"/>
          <w:szCs w:val="28"/>
          <w:lang w:val="pt-PT"/>
        </w:rPr>
      </w:pPr>
      <w:r w:rsidRPr="00CC6681">
        <w:rPr>
          <w:rFonts w:ascii="Comic Sans MS" w:hAnsi="Comic Sans MS"/>
          <w:color w:val="0D0D0D" w:themeColor="text1" w:themeTint="F2"/>
          <w:sz w:val="28"/>
          <w:szCs w:val="28"/>
          <w:lang w:val="pt-PT"/>
        </w:rPr>
        <w:t xml:space="preserve"> A necessidade e a diversidade de relações internacionais</w:t>
      </w:r>
    </w:p>
    <w:p w:rsidR="0063121D" w:rsidRPr="00CC6681" w:rsidRDefault="0063121D" w:rsidP="0063121D">
      <w:pPr>
        <w:jc w:val="both"/>
        <w:rPr>
          <w:rFonts w:ascii="Comic Sans MS" w:hAnsi="Comic Sans MS"/>
          <w:color w:val="0D0D0D" w:themeColor="text1" w:themeTint="F2"/>
          <w:sz w:val="28"/>
          <w:szCs w:val="28"/>
          <w:lang w:val="pt-PT"/>
        </w:rPr>
      </w:pPr>
    </w:p>
    <w:p w:rsidR="0063121D" w:rsidRPr="00CC6681" w:rsidRDefault="0063121D" w:rsidP="0063121D">
      <w:pPr>
        <w:jc w:val="both"/>
        <w:rPr>
          <w:rFonts w:ascii="Comic Sans MS" w:hAnsi="Comic Sans MS"/>
          <w:color w:val="0D0D0D" w:themeColor="text1" w:themeTint="F2"/>
          <w:sz w:val="28"/>
          <w:szCs w:val="28"/>
          <w:lang w:val="pt-PT"/>
        </w:rPr>
      </w:pPr>
      <w:r w:rsidRPr="00CC6681">
        <w:rPr>
          <w:rFonts w:ascii="Comic Sans MS" w:hAnsi="Comic Sans MS"/>
          <w:color w:val="0D0D0D" w:themeColor="text1" w:themeTint="F2"/>
          <w:sz w:val="28"/>
          <w:szCs w:val="28"/>
          <w:lang w:val="pt-PT"/>
        </w:rPr>
        <w:t xml:space="preserve">Um dos aspectos que caracterizam as economias contemporâneas e o facto de serem economias abertas. Numa economia aberta, os agentes económicos residentes de um país, para além de se relacionarem uns com os outros, também estabelecem relações com os agentes económicos residentes noutros países.   </w:t>
      </w:r>
    </w:p>
    <w:p w:rsidR="0063121D" w:rsidRPr="00CC6681" w:rsidRDefault="0063121D" w:rsidP="0063121D">
      <w:pPr>
        <w:jc w:val="both"/>
        <w:rPr>
          <w:rFonts w:ascii="Comic Sans MS" w:hAnsi="Comic Sans MS"/>
          <w:color w:val="0D0D0D" w:themeColor="text1" w:themeTint="F2"/>
          <w:sz w:val="28"/>
          <w:szCs w:val="28"/>
          <w:lang w:val="pt-PT"/>
        </w:rPr>
      </w:pPr>
      <w:r w:rsidRPr="00CC6681">
        <w:rPr>
          <w:rFonts w:ascii="Comic Sans MS" w:hAnsi="Comic Sans MS"/>
          <w:color w:val="0D0D0D" w:themeColor="text1" w:themeTint="F2"/>
          <w:sz w:val="28"/>
          <w:szCs w:val="28"/>
          <w:lang w:val="pt-PT"/>
        </w:rPr>
        <w:t>Em economias abertas, podemos falar de comércio a dois níveis distintos:</w:t>
      </w:r>
    </w:p>
    <w:p w:rsidR="00CD01FD" w:rsidRPr="00CC6681" w:rsidRDefault="0063121D" w:rsidP="0063121D">
      <w:pPr>
        <w:pStyle w:val="PargrafodaLista"/>
        <w:numPr>
          <w:ilvl w:val="0"/>
          <w:numId w:val="1"/>
        </w:numPr>
        <w:jc w:val="both"/>
        <w:rPr>
          <w:rFonts w:ascii="Comic Sans MS" w:hAnsi="Comic Sans MS"/>
          <w:color w:val="0D0D0D" w:themeColor="text1" w:themeTint="F2"/>
          <w:sz w:val="28"/>
          <w:szCs w:val="28"/>
          <w:lang w:val="pt-PT"/>
        </w:rPr>
      </w:pPr>
      <w:r w:rsidRPr="00CC6681">
        <w:rPr>
          <w:rFonts w:ascii="Comic Sans MS" w:hAnsi="Comic Sans MS"/>
          <w:color w:val="0D0D0D" w:themeColor="text1" w:themeTint="F2"/>
          <w:sz w:val="28"/>
          <w:szCs w:val="28"/>
          <w:lang w:val="pt-PT"/>
        </w:rPr>
        <w:t>Comércio interno –</w:t>
      </w:r>
      <w:r w:rsidR="00CC6681" w:rsidRPr="00CC6681">
        <w:rPr>
          <w:rFonts w:ascii="Comic Sans MS" w:hAnsi="Comic Sans MS"/>
          <w:color w:val="0D0D0D" w:themeColor="text1" w:themeTint="F2"/>
          <w:sz w:val="28"/>
          <w:szCs w:val="28"/>
          <w:lang w:val="pt-PT"/>
        </w:rPr>
        <w:t xml:space="preserve"> quando</w:t>
      </w:r>
      <w:r w:rsidRPr="00CC6681">
        <w:rPr>
          <w:rFonts w:ascii="Comic Sans MS" w:hAnsi="Comic Sans MS"/>
          <w:color w:val="0D0D0D" w:themeColor="text1" w:themeTint="F2"/>
          <w:sz w:val="28"/>
          <w:szCs w:val="28"/>
          <w:lang w:val="pt-PT"/>
        </w:rPr>
        <w:t xml:space="preserve"> as transacções são efectuadas entre os a</w:t>
      </w:r>
      <w:r w:rsidR="00CC6681" w:rsidRPr="00CC6681">
        <w:rPr>
          <w:rFonts w:ascii="Comic Sans MS" w:hAnsi="Comic Sans MS"/>
          <w:color w:val="0D0D0D" w:themeColor="text1" w:themeTint="F2"/>
          <w:sz w:val="28"/>
          <w:szCs w:val="28"/>
          <w:lang w:val="pt-PT"/>
        </w:rPr>
        <w:t>gentes económicos residentes no mesmo país.</w:t>
      </w:r>
    </w:p>
    <w:p w:rsidR="00CC6681" w:rsidRPr="00CC6681" w:rsidRDefault="00CC6681" w:rsidP="0063121D">
      <w:pPr>
        <w:pStyle w:val="PargrafodaLista"/>
        <w:numPr>
          <w:ilvl w:val="0"/>
          <w:numId w:val="1"/>
        </w:numPr>
        <w:jc w:val="both"/>
        <w:rPr>
          <w:rFonts w:ascii="Comic Sans MS" w:hAnsi="Comic Sans MS"/>
          <w:color w:val="0D0D0D" w:themeColor="text1" w:themeTint="F2"/>
          <w:sz w:val="28"/>
          <w:szCs w:val="28"/>
          <w:lang w:val="pt-PT"/>
        </w:rPr>
      </w:pPr>
      <w:r w:rsidRPr="00CC6681">
        <w:rPr>
          <w:rFonts w:ascii="Comic Sans MS" w:hAnsi="Comic Sans MS"/>
          <w:color w:val="0D0D0D" w:themeColor="text1" w:themeTint="F2"/>
          <w:sz w:val="28"/>
          <w:szCs w:val="28"/>
          <w:lang w:val="pt-PT"/>
        </w:rPr>
        <w:t>Comércio externo – quando as transacções são efectuadas entre os agentes económicos residentes em países diferentes.</w:t>
      </w:r>
    </w:p>
    <w:p w:rsidR="00CC6681" w:rsidRPr="00CC6681" w:rsidRDefault="00CC6681" w:rsidP="00CC6681">
      <w:pPr>
        <w:jc w:val="both"/>
        <w:rPr>
          <w:rFonts w:ascii="Comic Sans MS" w:hAnsi="Comic Sans MS"/>
          <w:color w:val="0D0D0D" w:themeColor="text1" w:themeTint="F2"/>
          <w:sz w:val="28"/>
          <w:szCs w:val="28"/>
          <w:lang w:val="pt-PT"/>
        </w:rPr>
      </w:pPr>
    </w:p>
    <w:p w:rsidR="00CC6681" w:rsidRDefault="00CC6681" w:rsidP="00CC6681">
      <w:pPr>
        <w:jc w:val="both"/>
        <w:rPr>
          <w:rFonts w:ascii="Comic Sans MS" w:hAnsi="Comic Sans MS"/>
          <w:sz w:val="28"/>
          <w:szCs w:val="28"/>
          <w:u w:val="single"/>
          <w:lang w:val="pt-PT"/>
        </w:rPr>
      </w:pPr>
      <w:r w:rsidRPr="00CC6681">
        <w:rPr>
          <w:rFonts w:ascii="Comic Sans MS" w:hAnsi="Comic Sans MS"/>
          <w:sz w:val="28"/>
          <w:szCs w:val="28"/>
          <w:u w:val="single"/>
          <w:lang w:val="pt-PT"/>
        </w:rPr>
        <w:t>Qual a diferença entre comércio externo e comércio internacional?</w:t>
      </w:r>
    </w:p>
    <w:p w:rsidR="00CC6681" w:rsidRDefault="00CC6681" w:rsidP="00CC6681">
      <w:pPr>
        <w:jc w:val="both"/>
        <w:rPr>
          <w:rFonts w:ascii="Comic Sans MS" w:hAnsi="Comic Sans MS"/>
          <w:sz w:val="28"/>
          <w:szCs w:val="28"/>
          <w:lang w:val="pt-PT"/>
        </w:rPr>
      </w:pPr>
      <w:r>
        <w:rPr>
          <w:rFonts w:ascii="Comic Sans MS" w:hAnsi="Comic Sans MS"/>
          <w:sz w:val="28"/>
          <w:szCs w:val="28"/>
          <w:lang w:val="pt-PT"/>
        </w:rPr>
        <w:t>Quando queremos referir-nos ao comércio que, de uma forma geral, é efectuado entre diferentes países, utilizamos a expressão “comércio internacional”. Quando pretende-mos aludir ao comércio entre um país específico e os restantes países, utilizamos a expressão “comércio externo”.</w:t>
      </w:r>
    </w:p>
    <w:p w:rsidR="004B003E" w:rsidRPr="004B003E" w:rsidRDefault="004B003E" w:rsidP="00CC6681">
      <w:pPr>
        <w:jc w:val="both"/>
        <w:rPr>
          <w:rFonts w:ascii="Comic Sans MS" w:hAnsi="Comic Sans MS"/>
          <w:sz w:val="28"/>
          <w:szCs w:val="28"/>
          <w:u w:val="single"/>
          <w:lang w:val="pt-PT"/>
        </w:rPr>
      </w:pPr>
    </w:p>
    <w:p w:rsidR="004B003E" w:rsidRDefault="004B003E" w:rsidP="00CC6681">
      <w:pPr>
        <w:jc w:val="both"/>
        <w:rPr>
          <w:rFonts w:ascii="Comic Sans MS" w:hAnsi="Comic Sans MS"/>
          <w:sz w:val="28"/>
          <w:szCs w:val="28"/>
          <w:u w:val="single"/>
          <w:lang w:val="pt-PT"/>
        </w:rPr>
      </w:pPr>
      <w:r w:rsidRPr="004B003E">
        <w:rPr>
          <w:rFonts w:ascii="Comic Sans MS" w:hAnsi="Comic Sans MS"/>
          <w:sz w:val="28"/>
          <w:szCs w:val="28"/>
          <w:u w:val="single"/>
          <w:lang w:val="pt-PT"/>
        </w:rPr>
        <w:t>Vamos analisar porque é que os países têm necessidade de se envolver no comércio internacional.</w:t>
      </w:r>
    </w:p>
    <w:p w:rsidR="006733E5" w:rsidRDefault="004B003E" w:rsidP="00CC6681">
      <w:pPr>
        <w:jc w:val="both"/>
        <w:rPr>
          <w:rFonts w:ascii="Comic Sans MS" w:hAnsi="Comic Sans MS"/>
          <w:sz w:val="28"/>
          <w:szCs w:val="28"/>
          <w:lang w:val="pt-PT"/>
        </w:rPr>
      </w:pPr>
      <w:r>
        <w:rPr>
          <w:rFonts w:ascii="Comic Sans MS" w:hAnsi="Comic Sans MS"/>
          <w:sz w:val="28"/>
          <w:szCs w:val="28"/>
          <w:lang w:val="pt-PT"/>
        </w:rPr>
        <w:t xml:space="preserve">Várias teorias foram criadas para responder a esta questão. Algumas adoptam como enfoque central a questão de saber o que aconteceria se o comércio pudesse processar-se sem a </w:t>
      </w:r>
      <w:r>
        <w:rPr>
          <w:rFonts w:ascii="Comic Sans MS" w:hAnsi="Comic Sans MS"/>
          <w:sz w:val="28"/>
          <w:szCs w:val="28"/>
          <w:lang w:val="pt-PT"/>
        </w:rPr>
        <w:lastRenderedPageBreak/>
        <w:t>interferência do estado, “naturalmente”. Já outras teorias são favoráveis a intervenção estatal, apontando como razoes justificativas situações em que tal intervenção seria boa.</w:t>
      </w:r>
    </w:p>
    <w:p w:rsidR="002D611F" w:rsidRDefault="006733E5" w:rsidP="00FA3253">
      <w:pPr>
        <w:ind w:firstLine="720"/>
        <w:jc w:val="both"/>
        <w:rPr>
          <w:rFonts w:ascii="Comic Sans MS" w:hAnsi="Comic Sans MS"/>
          <w:sz w:val="28"/>
          <w:szCs w:val="28"/>
          <w:lang w:val="pt-PT"/>
        </w:rPr>
      </w:pPr>
      <w:r>
        <w:rPr>
          <w:rFonts w:ascii="Comic Sans MS" w:hAnsi="Comic Sans MS"/>
          <w:sz w:val="28"/>
          <w:szCs w:val="28"/>
          <w:lang w:val="pt-PT"/>
        </w:rPr>
        <w:t xml:space="preserve">Certo é que, em diferente intensidade, ambos os grupos de teorias – desde as “teorias puras d livre comércio” às teorias mais favoráveis ao “livre comércio regulado” – reconhecem que os países se engajam no comércio entre si por razões fundamentalmente semelhantes àquelas pelas quais os indivíduos u regiões se engajam na troca de bens e serviços, isto é, para obter os benefícios inerentes à </w:t>
      </w:r>
      <w:r w:rsidRPr="006733E5">
        <w:rPr>
          <w:rFonts w:ascii="Comic Sans MS" w:hAnsi="Comic Sans MS"/>
          <w:sz w:val="28"/>
          <w:szCs w:val="28"/>
          <w:u w:val="single"/>
          <w:lang w:val="pt-PT"/>
        </w:rPr>
        <w:t>especialização.</w:t>
      </w:r>
      <w:r>
        <w:rPr>
          <w:rFonts w:ascii="Comic Sans MS" w:hAnsi="Comic Sans MS"/>
          <w:sz w:val="28"/>
          <w:szCs w:val="28"/>
          <w:lang w:val="pt-PT"/>
        </w:rPr>
        <w:t xml:space="preserve"> Em </w:t>
      </w:r>
      <w:r w:rsidR="002D611F">
        <w:rPr>
          <w:rFonts w:ascii="Comic Sans MS" w:hAnsi="Comic Sans MS"/>
          <w:sz w:val="28"/>
          <w:szCs w:val="28"/>
          <w:lang w:val="pt-PT"/>
        </w:rPr>
        <w:t>outras palavras</w:t>
      </w:r>
      <w:r>
        <w:rPr>
          <w:rFonts w:ascii="Comic Sans MS" w:hAnsi="Comic Sans MS"/>
          <w:sz w:val="28"/>
          <w:szCs w:val="28"/>
          <w:lang w:val="pt-PT"/>
        </w:rPr>
        <w:t>, os países</w:t>
      </w:r>
      <w:r w:rsidR="002D611F">
        <w:rPr>
          <w:rFonts w:ascii="Comic Sans MS" w:hAnsi="Comic Sans MS"/>
          <w:sz w:val="28"/>
          <w:szCs w:val="28"/>
          <w:lang w:val="pt-PT"/>
        </w:rPr>
        <w:t>, assim como os indivíduos, não são igualmente aptos a produzir todos os bens, seja porque eles são diferentemente presenteados pela natureza, seja por outras razões (desenvolvimento institucional, politico, social, etc.), de forma que todos beneficiam se cada um se especializasse naquilo que pudesse fazer melhor, vindo a obter os outros bens por meio das trocas.</w:t>
      </w:r>
    </w:p>
    <w:p w:rsidR="002D611F" w:rsidRDefault="002D611F" w:rsidP="00CC6681">
      <w:pPr>
        <w:jc w:val="both"/>
        <w:rPr>
          <w:rFonts w:ascii="Comic Sans MS" w:hAnsi="Comic Sans MS"/>
          <w:sz w:val="28"/>
          <w:szCs w:val="28"/>
          <w:lang w:val="pt-PT"/>
        </w:rPr>
      </w:pPr>
    </w:p>
    <w:p w:rsidR="004B003E" w:rsidRDefault="002D611F" w:rsidP="00CC6681">
      <w:pPr>
        <w:jc w:val="both"/>
        <w:rPr>
          <w:rFonts w:ascii="Comic Sans MS" w:hAnsi="Comic Sans MS"/>
          <w:b/>
          <w:color w:val="0D0D0D" w:themeColor="text1" w:themeTint="F2"/>
          <w:sz w:val="28"/>
          <w:szCs w:val="28"/>
          <w:lang w:val="pt-PT"/>
        </w:rPr>
      </w:pPr>
      <w:r w:rsidRPr="002D611F">
        <w:rPr>
          <w:rFonts w:ascii="Comic Sans MS" w:hAnsi="Comic Sans MS"/>
          <w:b/>
          <w:color w:val="0D0D0D" w:themeColor="text1" w:themeTint="F2"/>
          <w:sz w:val="28"/>
          <w:szCs w:val="28"/>
          <w:lang w:val="pt-PT"/>
        </w:rPr>
        <w:t xml:space="preserve">Importa, no entanto realçar que a especialização é simultaneamente, uma causa e uma consequência do comércio à escala mundial.   </w:t>
      </w:r>
    </w:p>
    <w:p w:rsidR="002D611F" w:rsidRDefault="002D611F" w:rsidP="00CC6681">
      <w:pPr>
        <w:jc w:val="both"/>
        <w:rPr>
          <w:rFonts w:ascii="Comic Sans MS" w:hAnsi="Comic Sans MS"/>
          <w:b/>
          <w:color w:val="0D0D0D" w:themeColor="text1" w:themeTint="F2"/>
          <w:sz w:val="28"/>
          <w:szCs w:val="28"/>
          <w:lang w:val="pt-PT"/>
        </w:rPr>
      </w:pPr>
    </w:p>
    <w:p w:rsidR="002D611F" w:rsidRDefault="002D611F" w:rsidP="00FA3253">
      <w:pPr>
        <w:ind w:firstLine="720"/>
        <w:jc w:val="both"/>
        <w:rPr>
          <w:rFonts w:ascii="Comic Sans MS" w:hAnsi="Comic Sans MS"/>
          <w:color w:val="0D0D0D" w:themeColor="text1" w:themeTint="F2"/>
          <w:sz w:val="28"/>
          <w:szCs w:val="28"/>
          <w:lang w:val="pt-PT"/>
        </w:rPr>
      </w:pPr>
      <w:r>
        <w:rPr>
          <w:rFonts w:ascii="Comic Sans MS" w:hAnsi="Comic Sans MS"/>
          <w:color w:val="0D0D0D" w:themeColor="text1" w:themeTint="F2"/>
          <w:sz w:val="28"/>
          <w:szCs w:val="28"/>
          <w:lang w:val="pt-PT"/>
        </w:rPr>
        <w:t>Com efeito, a especialização do processo produtivo leva a que, por um lado, os países exportem os produtos em que se especializaram e, por outro lado, importem os produtos que passaram a produzir menos ou que, não produzem, por se terem especializado</w:t>
      </w:r>
      <w:r w:rsidR="00FA3253">
        <w:rPr>
          <w:rFonts w:ascii="Comic Sans MS" w:hAnsi="Comic Sans MS"/>
          <w:color w:val="0D0D0D" w:themeColor="text1" w:themeTint="F2"/>
          <w:sz w:val="28"/>
          <w:szCs w:val="28"/>
          <w:lang w:val="pt-PT"/>
        </w:rPr>
        <w:t>.</w:t>
      </w:r>
    </w:p>
    <w:p w:rsidR="00FA3253" w:rsidRDefault="00FA3253" w:rsidP="00FA3253">
      <w:pPr>
        <w:ind w:firstLine="720"/>
        <w:jc w:val="both"/>
        <w:rPr>
          <w:rFonts w:ascii="Comic Sans MS" w:hAnsi="Comic Sans MS"/>
          <w:color w:val="0D0D0D" w:themeColor="text1" w:themeTint="F2"/>
          <w:sz w:val="28"/>
          <w:szCs w:val="28"/>
          <w:lang w:val="pt-PT"/>
        </w:rPr>
      </w:pPr>
      <w:r>
        <w:rPr>
          <w:rFonts w:ascii="Comic Sans MS" w:hAnsi="Comic Sans MS"/>
          <w:color w:val="0D0D0D" w:themeColor="text1" w:themeTint="F2"/>
          <w:sz w:val="28"/>
          <w:szCs w:val="28"/>
          <w:lang w:val="pt-PT"/>
        </w:rPr>
        <w:t xml:space="preserve">A </w:t>
      </w:r>
      <w:r>
        <w:rPr>
          <w:rFonts w:ascii="Comic Sans MS" w:hAnsi="Comic Sans MS"/>
          <w:b/>
          <w:color w:val="0D0D0D" w:themeColor="text1" w:themeTint="F2"/>
          <w:sz w:val="28"/>
          <w:szCs w:val="28"/>
          <w:lang w:val="pt-PT"/>
        </w:rPr>
        <w:t xml:space="preserve">diferença de gostos entre os consumidores </w:t>
      </w:r>
      <w:r>
        <w:rPr>
          <w:rFonts w:ascii="Comic Sans MS" w:hAnsi="Comic Sans MS"/>
          <w:color w:val="0D0D0D" w:themeColor="text1" w:themeTint="F2"/>
          <w:sz w:val="28"/>
          <w:szCs w:val="28"/>
          <w:lang w:val="pt-PT"/>
        </w:rPr>
        <w:t xml:space="preserve">é igualmente um factor que potencia o comércio internacional. Por exemplo, Portugal e Espanha podiam dispor de iguais condições de produção de peixe e carne, mas, se os portugueses </w:t>
      </w:r>
      <w:r>
        <w:rPr>
          <w:rFonts w:ascii="Comic Sans MS" w:hAnsi="Comic Sans MS"/>
          <w:color w:val="0D0D0D" w:themeColor="text1" w:themeTint="F2"/>
          <w:sz w:val="28"/>
          <w:szCs w:val="28"/>
          <w:lang w:val="pt-PT"/>
        </w:rPr>
        <w:lastRenderedPageBreak/>
        <w:t>preferissem peixe e os espanhóis carne, então, provavelmente, Portugal exportava carne para Espanha e, como contrapartida, importava peixe.</w:t>
      </w:r>
    </w:p>
    <w:p w:rsidR="00FA3253" w:rsidRDefault="00FA3253" w:rsidP="00CC6681">
      <w:pPr>
        <w:jc w:val="both"/>
        <w:rPr>
          <w:rFonts w:ascii="Comic Sans MS" w:hAnsi="Comic Sans MS"/>
          <w:color w:val="0D0D0D" w:themeColor="text1" w:themeTint="F2"/>
          <w:sz w:val="28"/>
          <w:szCs w:val="28"/>
          <w:lang w:val="pt-PT"/>
        </w:rPr>
      </w:pPr>
      <w:r>
        <w:rPr>
          <w:rFonts w:ascii="Comic Sans MS" w:hAnsi="Comic Sans MS"/>
          <w:color w:val="0D0D0D" w:themeColor="text1" w:themeTint="F2"/>
          <w:sz w:val="28"/>
          <w:szCs w:val="28"/>
          <w:lang w:val="pt-PT"/>
        </w:rPr>
        <w:tab/>
        <w:t xml:space="preserve">Outro aspecto a considerar quando se procura explicar as razoes do comércio internacional diz respeito à </w:t>
      </w:r>
      <w:r>
        <w:rPr>
          <w:rFonts w:ascii="Comic Sans MS" w:hAnsi="Comic Sans MS"/>
          <w:b/>
          <w:color w:val="0D0D0D" w:themeColor="text1" w:themeTint="F2"/>
          <w:sz w:val="28"/>
          <w:szCs w:val="28"/>
          <w:lang w:val="pt-PT"/>
        </w:rPr>
        <w:t>diferença de custos entre países.</w:t>
      </w:r>
      <w:r>
        <w:rPr>
          <w:rFonts w:ascii="Comic Sans MS" w:hAnsi="Comic Sans MS"/>
          <w:color w:val="0D0D0D" w:themeColor="text1" w:themeTint="F2"/>
          <w:sz w:val="28"/>
          <w:szCs w:val="28"/>
          <w:lang w:val="pt-PT"/>
        </w:rPr>
        <w:t xml:space="preserve">  </w:t>
      </w:r>
    </w:p>
    <w:p w:rsidR="00CC6681" w:rsidRDefault="00A65BC8" w:rsidP="00CC6681">
      <w:pPr>
        <w:jc w:val="both"/>
        <w:rPr>
          <w:rFonts w:ascii="Comic Sans MS" w:hAnsi="Comic Sans MS"/>
          <w:color w:val="0D0D0D" w:themeColor="text1" w:themeTint="F2"/>
          <w:sz w:val="28"/>
          <w:szCs w:val="28"/>
          <w:lang w:val="pt-PT"/>
        </w:rPr>
      </w:pPr>
      <w:r>
        <w:rPr>
          <w:rFonts w:ascii="Comic Sans MS" w:hAnsi="Comic Sans MS"/>
          <w:color w:val="0D0D0D" w:themeColor="text1" w:themeTint="F2"/>
          <w:sz w:val="28"/>
          <w:szCs w:val="28"/>
          <w:lang w:val="pt-PT"/>
        </w:rPr>
        <w:tab/>
        <w:t xml:space="preserve">Existem processos de fabrico que potenciam o aparecimento de </w:t>
      </w:r>
      <w:r>
        <w:rPr>
          <w:rFonts w:ascii="Comic Sans MS" w:hAnsi="Comic Sans MS"/>
          <w:b/>
          <w:color w:val="0D0D0D" w:themeColor="text1" w:themeTint="F2"/>
          <w:sz w:val="28"/>
          <w:szCs w:val="28"/>
          <w:lang w:val="pt-PT"/>
        </w:rPr>
        <w:t xml:space="preserve">economias de escala </w:t>
      </w:r>
      <w:r>
        <w:rPr>
          <w:rFonts w:ascii="Comic Sans MS" w:hAnsi="Comic Sans MS"/>
          <w:color w:val="0D0D0D" w:themeColor="text1" w:themeTint="F2"/>
          <w:sz w:val="28"/>
          <w:szCs w:val="28"/>
          <w:lang w:val="pt-PT"/>
        </w:rPr>
        <w:t>– diminuição do curso médio de produção à medida que aumenta o volume de produção. Deste modo, os países que conseguirem ganhar avanço na produção destes bens podem efectuar a sua produção a preços mais baixos.</w:t>
      </w:r>
    </w:p>
    <w:p w:rsidR="00A65BC8" w:rsidRDefault="00A65BC8" w:rsidP="00CC6681">
      <w:pPr>
        <w:jc w:val="both"/>
        <w:rPr>
          <w:rFonts w:ascii="Comic Sans MS" w:hAnsi="Comic Sans MS"/>
          <w:color w:val="0D0D0D" w:themeColor="text1" w:themeTint="F2"/>
          <w:sz w:val="28"/>
          <w:szCs w:val="28"/>
          <w:lang w:val="pt-PT"/>
        </w:rPr>
      </w:pPr>
      <w:r>
        <w:rPr>
          <w:rFonts w:ascii="Comic Sans MS" w:hAnsi="Comic Sans MS"/>
          <w:color w:val="0D0D0D" w:themeColor="text1" w:themeTint="F2"/>
          <w:sz w:val="28"/>
          <w:szCs w:val="28"/>
          <w:lang w:val="pt-PT"/>
        </w:rPr>
        <w:tab/>
        <w:t xml:space="preserve">Outro importante fenómeno que contribui para intensificar o comércio internacional é a </w:t>
      </w:r>
      <w:r w:rsidRPr="00A65BC8">
        <w:rPr>
          <w:rFonts w:ascii="Comic Sans MS" w:hAnsi="Comic Sans MS"/>
          <w:color w:val="0D0D0D" w:themeColor="text1" w:themeTint="F2"/>
          <w:sz w:val="28"/>
          <w:szCs w:val="28"/>
          <w:u w:val="single"/>
          <w:lang w:val="pt-PT"/>
        </w:rPr>
        <w:t>globalização.</w:t>
      </w:r>
    </w:p>
    <w:p w:rsidR="00A65BC8" w:rsidRDefault="00A65BC8" w:rsidP="00CC6681">
      <w:pPr>
        <w:jc w:val="both"/>
        <w:rPr>
          <w:rFonts w:ascii="Comic Sans MS" w:hAnsi="Comic Sans MS"/>
          <w:b/>
          <w:color w:val="0D0D0D" w:themeColor="text1" w:themeTint="F2"/>
          <w:sz w:val="28"/>
          <w:szCs w:val="28"/>
          <w:lang w:val="pt-PT"/>
        </w:rPr>
      </w:pPr>
      <w:r>
        <w:rPr>
          <w:rFonts w:ascii="Comic Sans MS" w:hAnsi="Comic Sans MS"/>
          <w:color w:val="0D0D0D" w:themeColor="text1" w:themeTint="F2"/>
          <w:sz w:val="28"/>
          <w:szCs w:val="28"/>
          <w:lang w:val="pt-PT"/>
        </w:rPr>
        <w:tab/>
      </w:r>
      <w:r>
        <w:rPr>
          <w:rFonts w:ascii="Comic Sans MS" w:hAnsi="Comic Sans MS"/>
          <w:b/>
          <w:color w:val="0D0D0D" w:themeColor="text1" w:themeTint="F2"/>
          <w:sz w:val="28"/>
          <w:szCs w:val="28"/>
          <w:lang w:val="pt-PT"/>
        </w:rPr>
        <w:t>Contudo, a globalização não é apenas uma causa do comércio internacional, é igualmente uma consequência.</w:t>
      </w:r>
      <w:r w:rsidR="00596FE3">
        <w:rPr>
          <w:rFonts w:ascii="Comic Sans MS" w:hAnsi="Comic Sans MS"/>
          <w:b/>
          <w:color w:val="0D0D0D" w:themeColor="text1" w:themeTint="F2"/>
          <w:sz w:val="28"/>
          <w:szCs w:val="28"/>
          <w:lang w:val="pt-PT"/>
        </w:rPr>
        <w:t xml:space="preserve"> </w:t>
      </w:r>
    </w:p>
    <w:p w:rsidR="00596FE3" w:rsidRDefault="00596FE3" w:rsidP="00CC6681">
      <w:pPr>
        <w:jc w:val="both"/>
        <w:rPr>
          <w:rFonts w:ascii="Comic Sans MS" w:hAnsi="Comic Sans MS"/>
          <w:color w:val="0D0D0D" w:themeColor="text1" w:themeTint="F2"/>
          <w:sz w:val="28"/>
          <w:szCs w:val="28"/>
          <w:lang w:val="pt-PT"/>
        </w:rPr>
      </w:pPr>
      <w:r>
        <w:rPr>
          <w:rFonts w:ascii="Comic Sans MS" w:hAnsi="Comic Sans MS"/>
          <w:color w:val="0D0D0D" w:themeColor="text1" w:themeTint="F2"/>
          <w:sz w:val="28"/>
          <w:szCs w:val="28"/>
          <w:lang w:val="pt-PT"/>
        </w:rPr>
        <w:tab/>
        <w:t>Em suma, todos os países trocam entre si as mais diversas mercadorias e serviços, o que conduz ao progressivo aumento do comércio internacional.</w:t>
      </w:r>
    </w:p>
    <w:p w:rsidR="00A711FD" w:rsidRDefault="00AC34F1" w:rsidP="00CC6681">
      <w:pPr>
        <w:jc w:val="both"/>
        <w:rPr>
          <w:rFonts w:ascii="Comic Sans MS" w:hAnsi="Comic Sans MS"/>
          <w:color w:val="0D0D0D" w:themeColor="text1" w:themeTint="F2"/>
          <w:sz w:val="28"/>
          <w:szCs w:val="28"/>
          <w:lang w:val="pt-PT"/>
        </w:rPr>
      </w:pPr>
      <w:r>
        <w:rPr>
          <w:rFonts w:ascii="Comic Sans MS" w:hAnsi="Comic Sans MS"/>
          <w:noProof/>
          <w:color w:val="0D0D0D" w:themeColor="text1" w:themeTint="F2"/>
          <w:sz w:val="28"/>
          <w:szCs w:val="28"/>
        </w:rPr>
        <w:lastRenderedPageBreak/>
        <w:drawing>
          <wp:inline distT="0" distB="0" distL="0" distR="0">
            <wp:extent cx="5581650" cy="5391150"/>
            <wp:effectExtent l="0" t="19050" r="0" b="19050"/>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A711FD" w:rsidRDefault="00A711FD" w:rsidP="00BE1DDB">
      <w:pPr>
        <w:jc w:val="both"/>
        <w:rPr>
          <w:rFonts w:ascii="Comic Sans MS" w:hAnsi="Comic Sans MS"/>
          <w:sz w:val="28"/>
          <w:szCs w:val="28"/>
          <w:lang w:val="pt-PT"/>
        </w:rPr>
      </w:pPr>
      <w:r>
        <w:rPr>
          <w:rFonts w:ascii="Comic Sans MS" w:hAnsi="Comic Sans MS"/>
          <w:sz w:val="28"/>
          <w:szCs w:val="28"/>
          <w:lang w:val="pt-PT"/>
        </w:rPr>
        <w:t>Assim, a internacionalização da economia abrange quatro tipos de transacções entre agentes económicos de países diferentes:</w:t>
      </w:r>
    </w:p>
    <w:p w:rsidR="00596FE3" w:rsidRDefault="00A711FD" w:rsidP="00BE1DDB">
      <w:pPr>
        <w:pStyle w:val="PargrafodaLista"/>
        <w:numPr>
          <w:ilvl w:val="0"/>
          <w:numId w:val="2"/>
        </w:numPr>
        <w:jc w:val="both"/>
        <w:rPr>
          <w:rFonts w:ascii="Comic Sans MS" w:hAnsi="Comic Sans MS"/>
          <w:sz w:val="28"/>
          <w:szCs w:val="28"/>
          <w:lang w:val="pt-PT"/>
        </w:rPr>
      </w:pPr>
      <w:r>
        <w:rPr>
          <w:rFonts w:ascii="Comic Sans MS" w:hAnsi="Comic Sans MS"/>
          <w:sz w:val="28"/>
          <w:szCs w:val="28"/>
          <w:lang w:val="pt-PT"/>
        </w:rPr>
        <w:t>Movimentos internacionais de bens e serviços (comércio externo).</w:t>
      </w:r>
    </w:p>
    <w:p w:rsidR="00A711FD" w:rsidRDefault="00A711FD" w:rsidP="00BE1DDB">
      <w:pPr>
        <w:pStyle w:val="PargrafodaLista"/>
        <w:numPr>
          <w:ilvl w:val="0"/>
          <w:numId w:val="2"/>
        </w:numPr>
        <w:jc w:val="both"/>
        <w:rPr>
          <w:rFonts w:ascii="Comic Sans MS" w:hAnsi="Comic Sans MS"/>
          <w:sz w:val="28"/>
          <w:szCs w:val="28"/>
          <w:lang w:val="pt-PT"/>
        </w:rPr>
      </w:pPr>
      <w:r>
        <w:rPr>
          <w:rFonts w:ascii="Comic Sans MS" w:hAnsi="Comic Sans MS"/>
          <w:sz w:val="28"/>
          <w:szCs w:val="28"/>
          <w:lang w:val="pt-PT"/>
        </w:rPr>
        <w:t>Movimentos internacionais de factores de produção (investimento directo estrangeiro, migrações internacionais).</w:t>
      </w:r>
    </w:p>
    <w:p w:rsidR="00A711FD" w:rsidRDefault="00A711FD" w:rsidP="00BE1DDB">
      <w:pPr>
        <w:pStyle w:val="PargrafodaLista"/>
        <w:numPr>
          <w:ilvl w:val="0"/>
          <w:numId w:val="2"/>
        </w:numPr>
        <w:jc w:val="both"/>
        <w:rPr>
          <w:rFonts w:ascii="Comic Sans MS" w:hAnsi="Comic Sans MS"/>
          <w:sz w:val="28"/>
          <w:szCs w:val="28"/>
          <w:lang w:val="pt-PT"/>
        </w:rPr>
      </w:pPr>
      <w:r>
        <w:rPr>
          <w:rFonts w:ascii="Comic Sans MS" w:hAnsi="Comic Sans MS"/>
          <w:sz w:val="28"/>
          <w:szCs w:val="28"/>
          <w:lang w:val="pt-PT"/>
        </w:rPr>
        <w:t>Movimentos de activos financeiros</w:t>
      </w:r>
      <w:r w:rsidR="00BE1DDB">
        <w:rPr>
          <w:rFonts w:ascii="Comic Sans MS" w:hAnsi="Comic Sans MS"/>
          <w:sz w:val="28"/>
          <w:szCs w:val="28"/>
          <w:lang w:val="pt-PT"/>
        </w:rPr>
        <w:t xml:space="preserve"> que suportam os movimentos de bens, serviços e factores de produção (balança de pagamentos).</w:t>
      </w:r>
    </w:p>
    <w:p w:rsidR="00BE1DDB" w:rsidRDefault="00BE1DDB" w:rsidP="00BE1DDB">
      <w:pPr>
        <w:pStyle w:val="PargrafodaLista"/>
        <w:numPr>
          <w:ilvl w:val="0"/>
          <w:numId w:val="2"/>
        </w:numPr>
        <w:jc w:val="both"/>
        <w:rPr>
          <w:rFonts w:ascii="Comic Sans MS" w:hAnsi="Comic Sans MS"/>
          <w:sz w:val="28"/>
          <w:szCs w:val="28"/>
          <w:lang w:val="pt-PT"/>
        </w:rPr>
      </w:pPr>
      <w:r>
        <w:rPr>
          <w:rFonts w:ascii="Comic Sans MS" w:hAnsi="Comic Sans MS"/>
          <w:sz w:val="28"/>
          <w:szCs w:val="28"/>
          <w:lang w:val="pt-PT"/>
        </w:rPr>
        <w:t>Transferências internacionais de rendimento (remessas de emigrantes, repatriamento de lucros, ajuda externa).</w:t>
      </w:r>
    </w:p>
    <w:p w:rsidR="00BE1DDB" w:rsidRDefault="00BE1DDB" w:rsidP="00BE1DDB">
      <w:pPr>
        <w:ind w:firstLine="435"/>
        <w:jc w:val="both"/>
        <w:rPr>
          <w:rFonts w:ascii="Comic Sans MS" w:hAnsi="Comic Sans MS"/>
          <w:sz w:val="28"/>
          <w:szCs w:val="28"/>
          <w:lang w:val="pt-PT"/>
        </w:rPr>
      </w:pPr>
      <w:r>
        <w:rPr>
          <w:rFonts w:ascii="Comic Sans MS" w:hAnsi="Comic Sans MS"/>
          <w:sz w:val="28"/>
          <w:szCs w:val="28"/>
          <w:lang w:val="pt-PT"/>
        </w:rPr>
        <w:lastRenderedPageBreak/>
        <w:t xml:space="preserve">No século XX, em Portugal, todos estes tipos de transacções internacionais tiveram uma importância elevada na evolução económica interna, embora em períodos nem sempre coincidentes, mas com forte incidência na segunda metade desse século. Por exemplo, o </w:t>
      </w:r>
      <w:r w:rsidRPr="00BE1DDB">
        <w:rPr>
          <w:rFonts w:ascii="Comic Sans MS" w:hAnsi="Comic Sans MS"/>
          <w:b/>
          <w:sz w:val="28"/>
          <w:szCs w:val="28"/>
          <w:lang w:val="pt-PT"/>
        </w:rPr>
        <w:t>fenómeno das migrações</w:t>
      </w:r>
      <w:r>
        <w:rPr>
          <w:rFonts w:ascii="Comic Sans MS" w:hAnsi="Comic Sans MS"/>
          <w:b/>
          <w:sz w:val="28"/>
          <w:szCs w:val="28"/>
          <w:lang w:val="pt-PT"/>
        </w:rPr>
        <w:t xml:space="preserve">, </w:t>
      </w:r>
      <w:r>
        <w:rPr>
          <w:rFonts w:ascii="Comic Sans MS" w:hAnsi="Comic Sans MS"/>
          <w:sz w:val="28"/>
          <w:szCs w:val="28"/>
          <w:lang w:val="pt-PT"/>
        </w:rPr>
        <w:t>nomeadamente a emigração, foi muito importante em Portugal, especialmente o período temporalmente referido.</w:t>
      </w:r>
    </w:p>
    <w:p w:rsidR="00D670E5" w:rsidRDefault="00BE1DDB" w:rsidP="00BE1DDB">
      <w:pPr>
        <w:ind w:firstLine="435"/>
        <w:jc w:val="both"/>
        <w:rPr>
          <w:rFonts w:ascii="Comic Sans MS" w:hAnsi="Comic Sans MS"/>
          <w:sz w:val="28"/>
          <w:szCs w:val="28"/>
          <w:lang w:val="pt-PT"/>
        </w:rPr>
      </w:pPr>
      <w:r>
        <w:rPr>
          <w:rFonts w:ascii="Comic Sans MS" w:hAnsi="Comic Sans MS"/>
          <w:sz w:val="28"/>
          <w:szCs w:val="28"/>
          <w:lang w:val="pt-PT"/>
        </w:rPr>
        <w:t>Dizemos que existe</w:t>
      </w:r>
      <w:r>
        <w:rPr>
          <w:rFonts w:ascii="Comic Sans MS" w:hAnsi="Comic Sans MS"/>
          <w:b/>
          <w:sz w:val="28"/>
          <w:szCs w:val="28"/>
          <w:lang w:val="pt-PT"/>
        </w:rPr>
        <w:t xml:space="preserve"> migração internacional </w:t>
      </w:r>
      <w:r>
        <w:rPr>
          <w:rFonts w:ascii="Comic Sans MS" w:hAnsi="Comic Sans MS"/>
          <w:sz w:val="28"/>
          <w:szCs w:val="28"/>
          <w:lang w:val="pt-PT"/>
        </w:rPr>
        <w:t>quando um individuo deixa o seu país para residir num outro país, durante, pelo menos, um ano. As migrações internacionais existem desde que as nações se constituíram e são motivadas quer por razões de natureza económico-social (incluindo-se aqui factores ligados ao subdesenvolvimento tecnológico e cientifico)</w:t>
      </w:r>
      <w:r w:rsidR="00D670E5">
        <w:rPr>
          <w:rFonts w:ascii="Comic Sans MS" w:hAnsi="Comic Sans MS"/>
          <w:sz w:val="28"/>
          <w:szCs w:val="28"/>
          <w:lang w:val="pt-PT"/>
        </w:rPr>
        <w:t xml:space="preserve"> quer por razões de ordem política (incluindo factores como a guerra e a insegurança.</w:t>
      </w:r>
    </w:p>
    <w:p w:rsidR="00D670E5" w:rsidRDefault="00D670E5" w:rsidP="00BE1DDB">
      <w:pPr>
        <w:ind w:firstLine="435"/>
        <w:jc w:val="both"/>
        <w:rPr>
          <w:rFonts w:ascii="Comic Sans MS" w:hAnsi="Comic Sans MS"/>
          <w:sz w:val="28"/>
          <w:szCs w:val="28"/>
          <w:lang w:val="pt-PT"/>
        </w:rPr>
      </w:pPr>
    </w:p>
    <w:p w:rsidR="00BE1DDB" w:rsidRPr="00BE1DDB" w:rsidRDefault="00D670E5" w:rsidP="00BE1DDB">
      <w:pPr>
        <w:ind w:firstLine="435"/>
        <w:jc w:val="both"/>
        <w:rPr>
          <w:rFonts w:ascii="Comic Sans MS" w:hAnsi="Comic Sans MS"/>
          <w:sz w:val="28"/>
          <w:szCs w:val="28"/>
          <w:lang w:val="pt-PT"/>
        </w:rPr>
      </w:pPr>
      <w:r>
        <w:rPr>
          <w:rFonts w:ascii="Comic Sans MS" w:hAnsi="Comic Sans MS"/>
          <w:sz w:val="28"/>
          <w:szCs w:val="28"/>
          <w:lang w:val="pt-PT"/>
        </w:rPr>
        <w:t xml:space="preserve"> </w:t>
      </w:r>
      <w:r w:rsidR="00BE1DDB">
        <w:rPr>
          <w:rFonts w:ascii="Comic Sans MS" w:hAnsi="Comic Sans MS"/>
          <w:sz w:val="28"/>
          <w:szCs w:val="28"/>
          <w:lang w:val="pt-PT"/>
        </w:rPr>
        <w:t xml:space="preserve">    </w:t>
      </w:r>
    </w:p>
    <w:sectPr w:rsidR="00BE1DDB" w:rsidRPr="00BE1DDB" w:rsidSect="005F1631">
      <w:pgSz w:w="11906" w:h="16838" w:code="9"/>
      <w:pgMar w:top="144" w:right="1701" w:bottom="1411" w:left="1872" w:header="706" w:footer="706"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9127B3"/>
    <w:multiLevelType w:val="hybridMultilevel"/>
    <w:tmpl w:val="52AE71B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65F81641"/>
    <w:multiLevelType w:val="hybridMultilevel"/>
    <w:tmpl w:val="C3A2D4C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63121D"/>
    <w:rsid w:val="002D611F"/>
    <w:rsid w:val="004B003E"/>
    <w:rsid w:val="00596FE3"/>
    <w:rsid w:val="005F1631"/>
    <w:rsid w:val="0063121D"/>
    <w:rsid w:val="006733E5"/>
    <w:rsid w:val="008D0D00"/>
    <w:rsid w:val="00A079DB"/>
    <w:rsid w:val="00A65BC8"/>
    <w:rsid w:val="00A711FD"/>
    <w:rsid w:val="00AC34F1"/>
    <w:rsid w:val="00BE1DDB"/>
    <w:rsid w:val="00CC6681"/>
    <w:rsid w:val="00CD01FD"/>
    <w:rsid w:val="00D670E5"/>
    <w:rsid w:val="00E24E11"/>
    <w:rsid w:val="00FA32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1FD"/>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63121D"/>
    <w:pPr>
      <w:ind w:left="720"/>
      <w:contextualSpacing/>
    </w:pPr>
  </w:style>
  <w:style w:type="paragraph" w:styleId="Textodebalo">
    <w:name w:val="Balloon Text"/>
    <w:basedOn w:val="Normal"/>
    <w:link w:val="TextodebaloCarcter"/>
    <w:uiPriority w:val="99"/>
    <w:semiHidden/>
    <w:unhideWhenUsed/>
    <w:rsid w:val="00596FE3"/>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596F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5" Type="http://schemas.openxmlformats.org/officeDocument/2006/relationships/diagramData" Target="diagrams/data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F98DF90-5822-43CA-B610-7B0B7F1BFCC3}" type="doc">
      <dgm:prSet loTypeId="urn:microsoft.com/office/officeart/2005/8/layout/radial5" loCatId="cycle" qsTypeId="urn:microsoft.com/office/officeart/2005/8/quickstyle/3d1" qsCatId="3D" csTypeId="urn:microsoft.com/office/officeart/2005/8/colors/colorful5" csCatId="colorful" phldr="1"/>
      <dgm:spPr/>
      <dgm:t>
        <a:bodyPr/>
        <a:lstStyle/>
        <a:p>
          <a:endParaRPr lang="en-US"/>
        </a:p>
      </dgm:t>
    </dgm:pt>
    <dgm:pt modelId="{2C551220-7E74-48A5-9D0F-54BB9FBD798F}">
      <dgm:prSet phldrT="[Texto]"/>
      <dgm:spPr/>
      <dgm:t>
        <a:bodyPr/>
        <a:lstStyle/>
        <a:p>
          <a:pPr algn="ctr"/>
          <a:r>
            <a:rPr lang="en-US"/>
            <a:t>comércio internacional</a:t>
          </a:r>
        </a:p>
      </dgm:t>
    </dgm:pt>
    <dgm:pt modelId="{F0EF9C7B-E40D-44F8-8E3D-E4C00478FF27}" type="parTrans" cxnId="{0842136A-7FBE-4F53-993A-2EF8C898B617}">
      <dgm:prSet/>
      <dgm:spPr/>
      <dgm:t>
        <a:bodyPr/>
        <a:lstStyle/>
        <a:p>
          <a:pPr algn="ctr"/>
          <a:endParaRPr lang="en-US"/>
        </a:p>
      </dgm:t>
    </dgm:pt>
    <dgm:pt modelId="{12CC4284-C570-476A-99CF-D0D41FC02447}" type="sibTrans" cxnId="{0842136A-7FBE-4F53-993A-2EF8C898B617}">
      <dgm:prSet/>
      <dgm:spPr/>
      <dgm:t>
        <a:bodyPr/>
        <a:lstStyle/>
        <a:p>
          <a:pPr algn="ctr"/>
          <a:endParaRPr lang="en-US"/>
        </a:p>
      </dgm:t>
    </dgm:pt>
    <dgm:pt modelId="{DD4F067B-30B1-412E-99E4-75794DC8FA7C}">
      <dgm:prSet phldrT="[Texto]"/>
      <dgm:spPr/>
      <dgm:t>
        <a:bodyPr/>
        <a:lstStyle/>
        <a:p>
          <a:pPr algn="ctr"/>
          <a:r>
            <a:rPr lang="en-US"/>
            <a:t>diferenças nos consumidores</a:t>
          </a:r>
        </a:p>
      </dgm:t>
    </dgm:pt>
    <dgm:pt modelId="{F5F3742F-755A-48C8-A261-FB4A1A33C527}" type="parTrans" cxnId="{102400E0-73D0-4263-883D-346C6AD24616}">
      <dgm:prSet/>
      <dgm:spPr/>
      <dgm:t>
        <a:bodyPr/>
        <a:lstStyle/>
        <a:p>
          <a:pPr algn="ctr"/>
          <a:endParaRPr lang="en-US"/>
        </a:p>
      </dgm:t>
    </dgm:pt>
    <dgm:pt modelId="{A1306BEF-6A95-47FE-BC71-377B5FC8CDEB}" type="sibTrans" cxnId="{102400E0-73D0-4263-883D-346C6AD24616}">
      <dgm:prSet/>
      <dgm:spPr/>
      <dgm:t>
        <a:bodyPr/>
        <a:lstStyle/>
        <a:p>
          <a:pPr algn="ctr"/>
          <a:endParaRPr lang="en-US"/>
        </a:p>
      </dgm:t>
    </dgm:pt>
    <dgm:pt modelId="{ECA4DF27-0146-44AC-A663-11DCE96DE8BF}">
      <dgm:prSet phldrT="[Texto]"/>
      <dgm:spPr/>
      <dgm:t>
        <a:bodyPr/>
        <a:lstStyle/>
        <a:p>
          <a:pPr algn="ctr"/>
          <a:r>
            <a:rPr lang="en-US"/>
            <a:t>globalização</a:t>
          </a:r>
        </a:p>
      </dgm:t>
    </dgm:pt>
    <dgm:pt modelId="{A92657BD-6A10-4593-9450-3010AE33BDF7}" type="parTrans" cxnId="{149DD628-0083-4E03-A110-E4981266B16C}">
      <dgm:prSet/>
      <dgm:spPr/>
      <dgm:t>
        <a:bodyPr/>
        <a:lstStyle/>
        <a:p>
          <a:pPr algn="ctr"/>
          <a:endParaRPr lang="en-US"/>
        </a:p>
      </dgm:t>
    </dgm:pt>
    <dgm:pt modelId="{3E52DCBB-2ECF-4322-AB33-6EEFDA3FB327}" type="sibTrans" cxnId="{149DD628-0083-4E03-A110-E4981266B16C}">
      <dgm:prSet/>
      <dgm:spPr/>
      <dgm:t>
        <a:bodyPr/>
        <a:lstStyle/>
        <a:p>
          <a:pPr algn="ctr"/>
          <a:endParaRPr lang="en-US"/>
        </a:p>
      </dgm:t>
    </dgm:pt>
    <dgm:pt modelId="{350E120C-C7CD-4D16-8F91-9E7BA21AE768}">
      <dgm:prSet phldrT="[Texto]"/>
      <dgm:spPr/>
      <dgm:t>
        <a:bodyPr/>
        <a:lstStyle/>
        <a:p>
          <a:pPr algn="ctr"/>
          <a:r>
            <a:rPr lang="en-US"/>
            <a:t>especialização</a:t>
          </a:r>
        </a:p>
      </dgm:t>
    </dgm:pt>
    <dgm:pt modelId="{F88CE85E-384F-4BD3-B071-24BB831546F7}" type="sibTrans" cxnId="{AFA5C468-32AF-4DD1-B38A-C7C8057584D4}">
      <dgm:prSet/>
      <dgm:spPr/>
      <dgm:t>
        <a:bodyPr/>
        <a:lstStyle/>
        <a:p>
          <a:pPr algn="ctr"/>
          <a:endParaRPr lang="en-US"/>
        </a:p>
      </dgm:t>
    </dgm:pt>
    <dgm:pt modelId="{26C05C4B-E34D-4DE1-910F-078CAB663946}" type="parTrans" cxnId="{AFA5C468-32AF-4DD1-B38A-C7C8057584D4}">
      <dgm:prSet/>
      <dgm:spPr/>
      <dgm:t>
        <a:bodyPr/>
        <a:lstStyle/>
        <a:p>
          <a:pPr algn="ctr"/>
          <a:endParaRPr lang="en-US"/>
        </a:p>
      </dgm:t>
    </dgm:pt>
    <dgm:pt modelId="{E0A43856-A58F-4370-84C6-22773BA6A11D}">
      <dgm:prSet phldrT="[Texto]"/>
      <dgm:spPr/>
      <dgm:t>
        <a:bodyPr/>
        <a:lstStyle/>
        <a:p>
          <a:pPr algn="ctr"/>
          <a:r>
            <a:rPr lang="en-US"/>
            <a:t>economias de escala</a:t>
          </a:r>
        </a:p>
      </dgm:t>
    </dgm:pt>
    <dgm:pt modelId="{E65E7F3F-43DC-464F-B16B-70FB6539C7F9}" type="sibTrans" cxnId="{5A473A00-8AD8-43E3-B9A8-C86F08876AE8}">
      <dgm:prSet/>
      <dgm:spPr/>
      <dgm:t>
        <a:bodyPr/>
        <a:lstStyle/>
        <a:p>
          <a:pPr algn="ctr"/>
          <a:endParaRPr lang="en-US"/>
        </a:p>
      </dgm:t>
    </dgm:pt>
    <dgm:pt modelId="{EF9D066C-A24C-4936-9264-C98520EEE180}" type="parTrans" cxnId="{5A473A00-8AD8-43E3-B9A8-C86F08876AE8}">
      <dgm:prSet/>
      <dgm:spPr/>
      <dgm:t>
        <a:bodyPr/>
        <a:lstStyle/>
        <a:p>
          <a:pPr algn="ctr"/>
          <a:endParaRPr lang="en-US"/>
        </a:p>
      </dgm:t>
    </dgm:pt>
    <dgm:pt modelId="{B2B5CC54-7049-4323-89D5-EA07F569FC35}" type="pres">
      <dgm:prSet presAssocID="{DF98DF90-5822-43CA-B610-7B0B7F1BFCC3}" presName="Name0" presStyleCnt="0">
        <dgm:presLayoutVars>
          <dgm:chMax val="1"/>
          <dgm:dir/>
          <dgm:animLvl val="ctr"/>
          <dgm:resizeHandles val="exact"/>
        </dgm:presLayoutVars>
      </dgm:prSet>
      <dgm:spPr/>
    </dgm:pt>
    <dgm:pt modelId="{A076D01C-0F7C-479B-906B-381ED03F9D81}" type="pres">
      <dgm:prSet presAssocID="{2C551220-7E74-48A5-9D0F-54BB9FBD798F}" presName="centerShape" presStyleLbl="node0" presStyleIdx="0" presStyleCnt="1"/>
      <dgm:spPr/>
    </dgm:pt>
    <dgm:pt modelId="{25EFA5CD-E526-4B80-BF41-CD04AE066FCE}" type="pres">
      <dgm:prSet presAssocID="{F5F3742F-755A-48C8-A261-FB4A1A33C527}" presName="parTrans" presStyleLbl="sibTrans2D1" presStyleIdx="0" presStyleCnt="4"/>
      <dgm:spPr/>
    </dgm:pt>
    <dgm:pt modelId="{17F93A03-36B6-4D2A-BE72-8C6D3D9EFE9B}" type="pres">
      <dgm:prSet presAssocID="{F5F3742F-755A-48C8-A261-FB4A1A33C527}" presName="connectorText" presStyleLbl="sibTrans2D1" presStyleIdx="0" presStyleCnt="4"/>
      <dgm:spPr/>
    </dgm:pt>
    <dgm:pt modelId="{0E2FE374-5AE0-4CBE-878B-53441E30F775}" type="pres">
      <dgm:prSet presAssocID="{DD4F067B-30B1-412E-99E4-75794DC8FA7C}" presName="node" presStyleLbl="node1" presStyleIdx="0" presStyleCnt="4">
        <dgm:presLayoutVars>
          <dgm:bulletEnabled val="1"/>
        </dgm:presLayoutVars>
      </dgm:prSet>
      <dgm:spPr/>
    </dgm:pt>
    <dgm:pt modelId="{B671204D-FCE8-4C00-ADFF-B5497030732A}" type="pres">
      <dgm:prSet presAssocID="{A92657BD-6A10-4593-9450-3010AE33BDF7}" presName="parTrans" presStyleLbl="sibTrans2D1" presStyleIdx="1" presStyleCnt="4"/>
      <dgm:spPr/>
    </dgm:pt>
    <dgm:pt modelId="{B7B97A95-09B6-4DB3-8C3D-380B3A30D54A}" type="pres">
      <dgm:prSet presAssocID="{A92657BD-6A10-4593-9450-3010AE33BDF7}" presName="connectorText" presStyleLbl="sibTrans2D1" presStyleIdx="1" presStyleCnt="4"/>
      <dgm:spPr/>
    </dgm:pt>
    <dgm:pt modelId="{8DD5E0CA-9F9C-4C76-B916-2BC2DE1EC47D}" type="pres">
      <dgm:prSet presAssocID="{ECA4DF27-0146-44AC-A663-11DCE96DE8BF}" presName="node" presStyleLbl="node1" presStyleIdx="1" presStyleCnt="4">
        <dgm:presLayoutVars>
          <dgm:bulletEnabled val="1"/>
        </dgm:presLayoutVars>
      </dgm:prSet>
      <dgm:spPr/>
    </dgm:pt>
    <dgm:pt modelId="{0DBEC32C-7326-4E70-8617-03337CCB4D08}" type="pres">
      <dgm:prSet presAssocID="{26C05C4B-E34D-4DE1-910F-078CAB663946}" presName="parTrans" presStyleLbl="sibTrans2D1" presStyleIdx="2" presStyleCnt="4"/>
      <dgm:spPr/>
    </dgm:pt>
    <dgm:pt modelId="{D4EF442E-6889-452B-9EFE-AD61AC92317B}" type="pres">
      <dgm:prSet presAssocID="{26C05C4B-E34D-4DE1-910F-078CAB663946}" presName="connectorText" presStyleLbl="sibTrans2D1" presStyleIdx="2" presStyleCnt="4"/>
      <dgm:spPr/>
    </dgm:pt>
    <dgm:pt modelId="{A89CC3BB-42E5-403A-9456-0BB2636DC865}" type="pres">
      <dgm:prSet presAssocID="{350E120C-C7CD-4D16-8F91-9E7BA21AE768}" presName="node" presStyleLbl="node1" presStyleIdx="2" presStyleCnt="4">
        <dgm:presLayoutVars>
          <dgm:bulletEnabled val="1"/>
        </dgm:presLayoutVars>
      </dgm:prSet>
      <dgm:spPr/>
      <dgm:t>
        <a:bodyPr/>
        <a:lstStyle/>
        <a:p>
          <a:endParaRPr lang="en-US"/>
        </a:p>
      </dgm:t>
    </dgm:pt>
    <dgm:pt modelId="{045AA8F1-1BEC-42FC-BE65-AB6DBBB638C6}" type="pres">
      <dgm:prSet presAssocID="{EF9D066C-A24C-4936-9264-C98520EEE180}" presName="parTrans" presStyleLbl="sibTrans2D1" presStyleIdx="3" presStyleCnt="4"/>
      <dgm:spPr/>
    </dgm:pt>
    <dgm:pt modelId="{DEDC1A4D-2B7D-4CE6-9F0E-ABAECEA4CC35}" type="pres">
      <dgm:prSet presAssocID="{EF9D066C-A24C-4936-9264-C98520EEE180}" presName="connectorText" presStyleLbl="sibTrans2D1" presStyleIdx="3" presStyleCnt="4"/>
      <dgm:spPr/>
    </dgm:pt>
    <dgm:pt modelId="{7E8CFBBA-52C3-42C1-AB49-9D7A94384AD8}" type="pres">
      <dgm:prSet presAssocID="{E0A43856-A58F-4370-84C6-22773BA6A11D}" presName="node" presStyleLbl="node1" presStyleIdx="3" presStyleCnt="4">
        <dgm:presLayoutVars>
          <dgm:bulletEnabled val="1"/>
        </dgm:presLayoutVars>
      </dgm:prSet>
      <dgm:spPr/>
      <dgm:t>
        <a:bodyPr/>
        <a:lstStyle/>
        <a:p>
          <a:endParaRPr lang="en-US"/>
        </a:p>
      </dgm:t>
    </dgm:pt>
  </dgm:ptLst>
  <dgm:cxnLst>
    <dgm:cxn modelId="{AFA5C468-32AF-4DD1-B38A-C7C8057584D4}" srcId="{2C551220-7E74-48A5-9D0F-54BB9FBD798F}" destId="{350E120C-C7CD-4D16-8F91-9E7BA21AE768}" srcOrd="2" destOrd="0" parTransId="{26C05C4B-E34D-4DE1-910F-078CAB663946}" sibTransId="{F88CE85E-384F-4BD3-B071-24BB831546F7}"/>
    <dgm:cxn modelId="{E38E0EC6-8694-4BCE-BA73-44C55CD81B5D}" type="presOf" srcId="{26C05C4B-E34D-4DE1-910F-078CAB663946}" destId="{0DBEC32C-7326-4E70-8617-03337CCB4D08}" srcOrd="0" destOrd="0" presId="urn:microsoft.com/office/officeart/2005/8/layout/radial5"/>
    <dgm:cxn modelId="{1B153448-E241-4C3C-8CAF-73BB325C7AB1}" type="presOf" srcId="{26C05C4B-E34D-4DE1-910F-078CAB663946}" destId="{D4EF442E-6889-452B-9EFE-AD61AC92317B}" srcOrd="1" destOrd="0" presId="urn:microsoft.com/office/officeart/2005/8/layout/radial5"/>
    <dgm:cxn modelId="{BA4E1FF0-B43F-4348-9023-FA1373848482}" type="presOf" srcId="{2C551220-7E74-48A5-9D0F-54BB9FBD798F}" destId="{A076D01C-0F7C-479B-906B-381ED03F9D81}" srcOrd="0" destOrd="0" presId="urn:microsoft.com/office/officeart/2005/8/layout/radial5"/>
    <dgm:cxn modelId="{AC89397F-50A8-40EC-9CF4-5ED67093AF35}" type="presOf" srcId="{A92657BD-6A10-4593-9450-3010AE33BDF7}" destId="{B7B97A95-09B6-4DB3-8C3D-380B3A30D54A}" srcOrd="1" destOrd="0" presId="urn:microsoft.com/office/officeart/2005/8/layout/radial5"/>
    <dgm:cxn modelId="{0842136A-7FBE-4F53-993A-2EF8C898B617}" srcId="{DF98DF90-5822-43CA-B610-7B0B7F1BFCC3}" destId="{2C551220-7E74-48A5-9D0F-54BB9FBD798F}" srcOrd="0" destOrd="0" parTransId="{F0EF9C7B-E40D-44F8-8E3D-E4C00478FF27}" sibTransId="{12CC4284-C570-476A-99CF-D0D41FC02447}"/>
    <dgm:cxn modelId="{8B79FC3E-7378-404A-8202-AD441207C369}" type="presOf" srcId="{350E120C-C7CD-4D16-8F91-9E7BA21AE768}" destId="{A89CC3BB-42E5-403A-9456-0BB2636DC865}" srcOrd="0" destOrd="0" presId="urn:microsoft.com/office/officeart/2005/8/layout/radial5"/>
    <dgm:cxn modelId="{5A473A00-8AD8-43E3-B9A8-C86F08876AE8}" srcId="{2C551220-7E74-48A5-9D0F-54BB9FBD798F}" destId="{E0A43856-A58F-4370-84C6-22773BA6A11D}" srcOrd="3" destOrd="0" parTransId="{EF9D066C-A24C-4936-9264-C98520EEE180}" sibTransId="{E65E7F3F-43DC-464F-B16B-70FB6539C7F9}"/>
    <dgm:cxn modelId="{2FAD84F5-0622-4B96-B978-3D264CAB4A5C}" type="presOf" srcId="{E0A43856-A58F-4370-84C6-22773BA6A11D}" destId="{7E8CFBBA-52C3-42C1-AB49-9D7A94384AD8}" srcOrd="0" destOrd="0" presId="urn:microsoft.com/office/officeart/2005/8/layout/radial5"/>
    <dgm:cxn modelId="{C0CDC41E-B7EB-4859-9FA3-BF640055D76C}" type="presOf" srcId="{DF98DF90-5822-43CA-B610-7B0B7F1BFCC3}" destId="{B2B5CC54-7049-4323-89D5-EA07F569FC35}" srcOrd="0" destOrd="0" presId="urn:microsoft.com/office/officeart/2005/8/layout/radial5"/>
    <dgm:cxn modelId="{102400E0-73D0-4263-883D-346C6AD24616}" srcId="{2C551220-7E74-48A5-9D0F-54BB9FBD798F}" destId="{DD4F067B-30B1-412E-99E4-75794DC8FA7C}" srcOrd="0" destOrd="0" parTransId="{F5F3742F-755A-48C8-A261-FB4A1A33C527}" sibTransId="{A1306BEF-6A95-47FE-BC71-377B5FC8CDEB}"/>
    <dgm:cxn modelId="{660EFD4D-7C64-494B-B234-B5B32665C535}" type="presOf" srcId="{DD4F067B-30B1-412E-99E4-75794DC8FA7C}" destId="{0E2FE374-5AE0-4CBE-878B-53441E30F775}" srcOrd="0" destOrd="0" presId="urn:microsoft.com/office/officeart/2005/8/layout/radial5"/>
    <dgm:cxn modelId="{25A755A8-07BF-4658-A382-765CD9A8D40F}" type="presOf" srcId="{A92657BD-6A10-4593-9450-3010AE33BDF7}" destId="{B671204D-FCE8-4C00-ADFF-B5497030732A}" srcOrd="0" destOrd="0" presId="urn:microsoft.com/office/officeart/2005/8/layout/radial5"/>
    <dgm:cxn modelId="{B4B555FC-70AD-4C5A-A993-6D74795E8091}" type="presOf" srcId="{EF9D066C-A24C-4936-9264-C98520EEE180}" destId="{045AA8F1-1BEC-42FC-BE65-AB6DBBB638C6}" srcOrd="0" destOrd="0" presId="urn:microsoft.com/office/officeart/2005/8/layout/radial5"/>
    <dgm:cxn modelId="{52997006-309B-46BB-A843-2F4A52592D2E}" type="presOf" srcId="{EF9D066C-A24C-4936-9264-C98520EEE180}" destId="{DEDC1A4D-2B7D-4CE6-9F0E-ABAECEA4CC35}" srcOrd="1" destOrd="0" presId="urn:microsoft.com/office/officeart/2005/8/layout/radial5"/>
    <dgm:cxn modelId="{AEDBBEB2-1867-4AE4-9B30-F6F74CB07EF9}" type="presOf" srcId="{F5F3742F-755A-48C8-A261-FB4A1A33C527}" destId="{25EFA5CD-E526-4B80-BF41-CD04AE066FCE}" srcOrd="0" destOrd="0" presId="urn:microsoft.com/office/officeart/2005/8/layout/radial5"/>
    <dgm:cxn modelId="{2D3D4943-8096-4DE2-9469-A1705C0C7130}" type="presOf" srcId="{F5F3742F-755A-48C8-A261-FB4A1A33C527}" destId="{17F93A03-36B6-4D2A-BE72-8C6D3D9EFE9B}" srcOrd="1" destOrd="0" presId="urn:microsoft.com/office/officeart/2005/8/layout/radial5"/>
    <dgm:cxn modelId="{5608A3A5-3C53-4E22-95A9-D7BEC15D0B90}" type="presOf" srcId="{ECA4DF27-0146-44AC-A663-11DCE96DE8BF}" destId="{8DD5E0CA-9F9C-4C76-B916-2BC2DE1EC47D}" srcOrd="0" destOrd="0" presId="urn:microsoft.com/office/officeart/2005/8/layout/radial5"/>
    <dgm:cxn modelId="{149DD628-0083-4E03-A110-E4981266B16C}" srcId="{2C551220-7E74-48A5-9D0F-54BB9FBD798F}" destId="{ECA4DF27-0146-44AC-A663-11DCE96DE8BF}" srcOrd="1" destOrd="0" parTransId="{A92657BD-6A10-4593-9450-3010AE33BDF7}" sibTransId="{3E52DCBB-2ECF-4322-AB33-6EEFDA3FB327}"/>
    <dgm:cxn modelId="{B95FCFFF-CF59-4092-B739-D6A0183486C8}" type="presParOf" srcId="{B2B5CC54-7049-4323-89D5-EA07F569FC35}" destId="{A076D01C-0F7C-479B-906B-381ED03F9D81}" srcOrd="0" destOrd="0" presId="urn:microsoft.com/office/officeart/2005/8/layout/radial5"/>
    <dgm:cxn modelId="{6F22EB86-A17D-4789-A4DD-950824287B91}" type="presParOf" srcId="{B2B5CC54-7049-4323-89D5-EA07F569FC35}" destId="{25EFA5CD-E526-4B80-BF41-CD04AE066FCE}" srcOrd="1" destOrd="0" presId="urn:microsoft.com/office/officeart/2005/8/layout/radial5"/>
    <dgm:cxn modelId="{9455EAB5-4A1D-407E-AB28-A25231823D94}" type="presParOf" srcId="{25EFA5CD-E526-4B80-BF41-CD04AE066FCE}" destId="{17F93A03-36B6-4D2A-BE72-8C6D3D9EFE9B}" srcOrd="0" destOrd="0" presId="urn:microsoft.com/office/officeart/2005/8/layout/radial5"/>
    <dgm:cxn modelId="{4082B5B1-4039-466F-AE48-1D28ED5C3ABC}" type="presParOf" srcId="{B2B5CC54-7049-4323-89D5-EA07F569FC35}" destId="{0E2FE374-5AE0-4CBE-878B-53441E30F775}" srcOrd="2" destOrd="0" presId="urn:microsoft.com/office/officeart/2005/8/layout/radial5"/>
    <dgm:cxn modelId="{20552A3B-3E28-435B-B5F0-6FE43CDFFC17}" type="presParOf" srcId="{B2B5CC54-7049-4323-89D5-EA07F569FC35}" destId="{B671204D-FCE8-4C00-ADFF-B5497030732A}" srcOrd="3" destOrd="0" presId="urn:microsoft.com/office/officeart/2005/8/layout/radial5"/>
    <dgm:cxn modelId="{8CA31352-9F2F-458F-AD10-2352BA157CE7}" type="presParOf" srcId="{B671204D-FCE8-4C00-ADFF-B5497030732A}" destId="{B7B97A95-09B6-4DB3-8C3D-380B3A30D54A}" srcOrd="0" destOrd="0" presId="urn:microsoft.com/office/officeart/2005/8/layout/radial5"/>
    <dgm:cxn modelId="{4417EDE6-724F-4754-A039-09959E46318F}" type="presParOf" srcId="{B2B5CC54-7049-4323-89D5-EA07F569FC35}" destId="{8DD5E0CA-9F9C-4C76-B916-2BC2DE1EC47D}" srcOrd="4" destOrd="0" presId="urn:microsoft.com/office/officeart/2005/8/layout/radial5"/>
    <dgm:cxn modelId="{86147B2C-0198-4131-9EAC-A449D0616B45}" type="presParOf" srcId="{B2B5CC54-7049-4323-89D5-EA07F569FC35}" destId="{0DBEC32C-7326-4E70-8617-03337CCB4D08}" srcOrd="5" destOrd="0" presId="urn:microsoft.com/office/officeart/2005/8/layout/radial5"/>
    <dgm:cxn modelId="{1E5BFCF9-A914-4456-AF70-DC6C8633123B}" type="presParOf" srcId="{0DBEC32C-7326-4E70-8617-03337CCB4D08}" destId="{D4EF442E-6889-452B-9EFE-AD61AC92317B}" srcOrd="0" destOrd="0" presId="urn:microsoft.com/office/officeart/2005/8/layout/radial5"/>
    <dgm:cxn modelId="{A6872855-366B-4200-A484-32AE496EB985}" type="presParOf" srcId="{B2B5CC54-7049-4323-89D5-EA07F569FC35}" destId="{A89CC3BB-42E5-403A-9456-0BB2636DC865}" srcOrd="6" destOrd="0" presId="urn:microsoft.com/office/officeart/2005/8/layout/radial5"/>
    <dgm:cxn modelId="{2D0A5FAC-7B1A-4720-93BF-3C6DC2B23757}" type="presParOf" srcId="{B2B5CC54-7049-4323-89D5-EA07F569FC35}" destId="{045AA8F1-1BEC-42FC-BE65-AB6DBBB638C6}" srcOrd="7" destOrd="0" presId="urn:microsoft.com/office/officeart/2005/8/layout/radial5"/>
    <dgm:cxn modelId="{805C6D97-EDFD-4168-9B11-9E7E521E7203}" type="presParOf" srcId="{045AA8F1-1BEC-42FC-BE65-AB6DBBB638C6}" destId="{DEDC1A4D-2B7D-4CE6-9F0E-ABAECEA4CC35}" srcOrd="0" destOrd="0" presId="urn:microsoft.com/office/officeart/2005/8/layout/radial5"/>
    <dgm:cxn modelId="{85B6B107-09EC-4C17-AC24-A942E7C85CA7}" type="presParOf" srcId="{B2B5CC54-7049-4323-89D5-EA07F569FC35}" destId="{7E8CFBBA-52C3-42C1-AB49-9D7A94384AD8}" srcOrd="8" destOrd="0" presId="urn:microsoft.com/office/officeart/2005/8/layout/radial5"/>
  </dgm:cxnLst>
  <dgm:bg/>
  <dgm:whole/>
</dgm:dataModel>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Pages>
  <Words>771</Words>
  <Characters>4400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Luciana</dc:creator>
  <cp:lastModifiedBy>Luciana</cp:lastModifiedBy>
  <cp:revision>2</cp:revision>
  <dcterms:created xsi:type="dcterms:W3CDTF">2009-11-14T20:30:00Z</dcterms:created>
  <dcterms:modified xsi:type="dcterms:W3CDTF">2009-11-14T23:47:00Z</dcterms:modified>
</cp:coreProperties>
</file>